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3A1E0E66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4F30D3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</w:t>
      </w:r>
      <w:r w:rsidR="00DB3557">
        <w:rPr>
          <w:rFonts w:cs="Arial"/>
          <w:b/>
          <w:sz w:val="28"/>
          <w:szCs w:val="28"/>
        </w:rPr>
        <w:t>6</w:t>
      </w:r>
      <w:r w:rsidR="00FC288F">
        <w:rPr>
          <w:rFonts w:cs="Arial"/>
          <w:b/>
          <w:sz w:val="28"/>
          <w:szCs w:val="28"/>
        </w:rPr>
        <w:t>S23D6V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7300780A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4F30D3">
        <w:rPr>
          <w:rFonts w:cs="Arial"/>
        </w:rPr>
        <w:t>4</w:t>
      </w:r>
      <w:r w:rsidR="00513AA0" w:rsidRPr="00513AA0">
        <w:rPr>
          <w:rFonts w:cs="Arial"/>
        </w:rPr>
        <w:t>DV3</w:t>
      </w:r>
    </w:p>
    <w:p w14:paraId="0CFF8450" w14:textId="63BECDBE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</w:t>
      </w:r>
      <w:r w:rsidR="00DB3557">
        <w:rPr>
          <w:rFonts w:cs="Arial"/>
          <w:szCs w:val="20"/>
        </w:rPr>
        <w:t>6</w:t>
      </w:r>
      <w:r w:rsidR="00FC288F" w:rsidRPr="00FC288F">
        <w:rPr>
          <w:rFonts w:cs="Arial"/>
          <w:szCs w:val="20"/>
        </w:rPr>
        <w:t>S23D6V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810D849" w14:textId="77777777" w:rsidR="004F30D3" w:rsidRPr="009B2CD8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464D4C" w14:textId="77777777" w:rsidR="004F30D3" w:rsidRPr="009B2CD8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Precarica: 3,80 kg*</w:t>
      </w:r>
    </w:p>
    <w:p w14:paraId="49104236" w14:textId="77777777" w:rsidR="004F30D3" w:rsidRPr="00C335A4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*se la lunghezza tot</w:t>
      </w:r>
      <w:r>
        <w:rPr>
          <w:rFonts w:cs="Arial"/>
          <w:szCs w:val="20"/>
        </w:rPr>
        <w:t>ale della tubazione del liquido è &lt;= 10 m non aggiungere altro refrigerante</w:t>
      </w:r>
    </w:p>
    <w:p w14:paraId="0FC8F726" w14:textId="77777777" w:rsidR="004F30D3" w:rsidRPr="00C335A4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BBE2501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1100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389E53AE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2CFD1C8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3BD9C9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641EA1B9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13,38</w:t>
      </w:r>
      <w:r w:rsidRPr="00B65AE3">
        <w:rPr>
          <w:rFonts w:cs="Arial"/>
          <w:szCs w:val="20"/>
        </w:rPr>
        <w:t xml:space="preserve"> kW </w:t>
      </w:r>
    </w:p>
    <w:p w14:paraId="062F2EC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2,83</w:t>
      </w:r>
      <w:r w:rsidRPr="00B65AE3">
        <w:rPr>
          <w:rFonts w:cs="Arial"/>
          <w:szCs w:val="20"/>
        </w:rPr>
        <w:t xml:space="preserve"> kW </w:t>
      </w:r>
    </w:p>
    <w:p w14:paraId="5B21F902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>
        <w:rPr>
          <w:rFonts w:cs="Arial"/>
          <w:szCs w:val="20"/>
        </w:rPr>
        <w:t>4,72</w:t>
      </w:r>
    </w:p>
    <w:p w14:paraId="415A9978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4BBE5EF8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14E29C8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0EA5C7C2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08ED18C0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>
        <w:rPr>
          <w:rFonts w:cs="Arial"/>
          <w:szCs w:val="20"/>
        </w:rPr>
        <w:t>2,85</w:t>
      </w:r>
      <w:r w:rsidRPr="00B65AE3">
        <w:rPr>
          <w:rFonts w:cs="Arial"/>
          <w:szCs w:val="20"/>
        </w:rPr>
        <w:t xml:space="preserve"> kW </w:t>
      </w:r>
    </w:p>
    <w:p w14:paraId="0ADB24DE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>
        <w:rPr>
          <w:rFonts w:cs="Arial"/>
          <w:szCs w:val="20"/>
        </w:rPr>
        <w:t>4,66</w:t>
      </w:r>
    </w:p>
    <w:p w14:paraId="1422051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7829C573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88D046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1CAB053E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67F4E01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38456730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599462F2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A4B4D5" w14:textId="77777777" w:rsidR="004F30D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5BA1DD4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10172EAD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64666276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6DC2AE0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07659D55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60518411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244773D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079F2AB1" w14:textId="77777777" w:rsidR="004F30D3" w:rsidRPr="00B65AE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0357F61" w14:textId="77777777" w:rsidR="004F30D3" w:rsidRDefault="004F30D3" w:rsidP="004F30D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4BF97C6A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</w:t>
      </w:r>
      <w:r w:rsidR="00867350">
        <w:rPr>
          <w:rFonts w:cs="Arial"/>
          <w:szCs w:val="20"/>
        </w:rPr>
        <w:t>.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3BA6CB52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monofase 230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6FBF6DB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23D9100F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</w:t>
      </w:r>
      <w:r w:rsidR="00DB3557">
        <w:rPr>
          <w:rFonts w:cs="Arial"/>
        </w:rPr>
        <w:t>140</w:t>
      </w:r>
      <w:r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69DEBD18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4F30D3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67350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B3557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22</cp:revision>
  <cp:lastPrinted>2017-03-23T09:32:00Z</cp:lastPrinted>
  <dcterms:created xsi:type="dcterms:W3CDTF">2021-09-29T17:12:00Z</dcterms:created>
  <dcterms:modified xsi:type="dcterms:W3CDTF">2021-12-09T10:27:00Z</dcterms:modified>
</cp:coreProperties>
</file>